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D32B" w14:textId="3968C283" w:rsidR="009F10D2" w:rsidRPr="009F10D2" w:rsidRDefault="009F10D2" w:rsidP="009F10D2">
      <w:pPr>
        <w:shd w:val="clear" w:color="auto" w:fill="FFFFFF"/>
        <w:spacing w:after="225" w:line="240" w:lineRule="auto"/>
        <w:jc w:val="center"/>
        <w:textAlignment w:val="baseline"/>
        <w:rPr>
          <w:rFonts w:ascii="ProbaPro" w:eastAsia="Times New Roman" w:hAnsi="ProbaPro" w:cs="Times New Roman"/>
          <w:b/>
          <w:bCs/>
          <w:color w:val="000000"/>
          <w:sz w:val="27"/>
          <w:szCs w:val="27"/>
          <w:lang w:eastAsia="uk-UA"/>
        </w:rPr>
      </w:pPr>
      <w:r w:rsidRPr="009F10D2">
        <w:rPr>
          <w:rFonts w:ascii="ProbaPro" w:eastAsia="Times New Roman" w:hAnsi="ProbaPro" w:cs="Times New Roman"/>
          <w:b/>
          <w:bCs/>
          <w:color w:val="000000"/>
          <w:sz w:val="27"/>
          <w:szCs w:val="27"/>
          <w:lang w:eastAsia="uk-UA"/>
        </w:rPr>
        <w:t>Гендерна рівність</w:t>
      </w:r>
    </w:p>
    <w:p w14:paraId="21FB20EA" w14:textId="77777777" w:rsidR="009F10D2" w:rsidRDefault="009F10D2" w:rsidP="009F10D2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</w:p>
    <w:p w14:paraId="2852D7AC" w14:textId="5A12E57F" w:rsidR="009F10D2" w:rsidRPr="009F10D2" w:rsidRDefault="009F10D2" w:rsidP="009F10D2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9F10D2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Євроінтеграційні прагнення України стали невід’ємними реаліями політичного сьогодення. Підписавши і ратифікувавши Угоду про асоціацію з Європейським Союзом, Україна продемонструвала відданість демократичним європейським цінностям та взяла на себе зобов’язання «враховувати питання рівності між чоловіками і жінками при розробці та впровадженні законів, постанов, адміністративних положень, політики і заходів».</w:t>
      </w:r>
    </w:p>
    <w:p w14:paraId="0D28A97E" w14:textId="77777777" w:rsidR="009F10D2" w:rsidRPr="009F10D2" w:rsidRDefault="009F10D2" w:rsidP="009F10D2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9F10D2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Термін </w:t>
      </w:r>
      <w:r w:rsidRPr="009F10D2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„</w:t>
      </w:r>
      <w:proofErr w:type="spellStart"/>
      <w:r w:rsidRPr="009F10D2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ґендер</w:t>
      </w:r>
      <w:proofErr w:type="spellEnd"/>
      <w:r w:rsidRPr="009F10D2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”</w:t>
      </w:r>
      <w:r w:rsidRPr="009F10D2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 – означає різні соціальні ролі, обов’язки та ідентичності жінок і чоловіків та співвідношення сил між жінками й чоловіками у певному суспільстві. Ґендерні ролі та ґендерні відносини у різних країнах і культурах відрізняються й можуть бути різними навіть у різних груп одного суспільства.</w:t>
      </w:r>
    </w:p>
    <w:p w14:paraId="6BFB0F9A" w14:textId="77777777" w:rsidR="009F10D2" w:rsidRPr="009F10D2" w:rsidRDefault="009F10D2" w:rsidP="009F10D2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9F10D2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Термін </w:t>
      </w:r>
      <w:r w:rsidRPr="009F10D2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„стать”</w:t>
      </w:r>
      <w:r w:rsidRPr="009F10D2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 стосується біологічних відмінностей між жінками і чоловіками.</w:t>
      </w:r>
    </w:p>
    <w:p w14:paraId="19927611" w14:textId="77777777" w:rsidR="009F10D2" w:rsidRPr="009F10D2" w:rsidRDefault="009F10D2" w:rsidP="009F10D2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9F10D2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Гендерна рівність</w:t>
      </w:r>
      <w:r w:rsidRPr="009F10D2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 означає, що всі людські істоти мають свободу для розвитку своїх особистих здібностей та свободу вибору без обмежень, пов’язаних із жорстко закріпленими гендерними ролями. Тобто різна поведінка, прагнення та потреби жінок і чоловіків враховуються, оцінюються й підтримуються рівним чином. (Європейська Комісія, 2004)</w:t>
      </w:r>
    </w:p>
    <w:p w14:paraId="22C82C0A" w14:textId="77777777" w:rsidR="009F10D2" w:rsidRPr="009F10D2" w:rsidRDefault="009F10D2" w:rsidP="009F10D2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9F10D2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Рівність не означає, що жінки та чоловіки стануть однаковими, але права, </w:t>
      </w:r>
      <w:proofErr w:type="spellStart"/>
      <w:r w:rsidRPr="009F10D2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обовʼязки</w:t>
      </w:r>
      <w:proofErr w:type="spellEnd"/>
      <w:r w:rsidRPr="009F10D2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та можливості жінок і чоловіків не залежатимуть від того, народилися вони жінками чи чоловіками.</w:t>
      </w:r>
    </w:p>
    <w:p w14:paraId="744E4882" w14:textId="77777777" w:rsidR="009F10D2" w:rsidRPr="009F10D2" w:rsidRDefault="009F10D2" w:rsidP="009F10D2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9F10D2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Рівність між жінками та чоловіками розглядається як питання прав людини та як необхідна умова і показник сталого </w:t>
      </w:r>
      <w:proofErr w:type="spellStart"/>
      <w:r w:rsidRPr="009F10D2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людиноцентричного</w:t>
      </w:r>
      <w:proofErr w:type="spellEnd"/>
      <w:r w:rsidRPr="009F10D2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розвитку.</w:t>
      </w:r>
    </w:p>
    <w:p w14:paraId="7A408B00" w14:textId="77777777" w:rsidR="009F10D2" w:rsidRPr="009F10D2" w:rsidRDefault="009F10D2" w:rsidP="009F10D2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9F10D2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Забезпечення ґендерної рівності є серйозним ресурсом економічного та соціального розвитку та безпеки, який в Україні поки що використовується недостатньо.</w:t>
      </w:r>
    </w:p>
    <w:p w14:paraId="19216EDF" w14:textId="77777777" w:rsidR="009F10D2" w:rsidRPr="009F10D2" w:rsidRDefault="009F10D2" w:rsidP="009F10D2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9F10D2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Національна соціальна сервісна служба України,</w:t>
      </w:r>
      <w:r w:rsidRPr="009F10D2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 як центральний орган виконавчої влади, реалізує державну політику у сфері соціального захисту населення, зокрема, з питань забезпечення рівних прав та можливостей жінок і чоловіків.</w:t>
      </w:r>
    </w:p>
    <w:p w14:paraId="32A71BD5" w14:textId="77777777" w:rsidR="009F10D2" w:rsidRPr="009F10D2" w:rsidRDefault="009F10D2" w:rsidP="009F10D2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9F10D2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До основних завдань </w:t>
      </w:r>
      <w:proofErr w:type="spellStart"/>
      <w:r w:rsidRPr="009F10D2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Нацсоцслужби</w:t>
      </w:r>
      <w:proofErr w:type="spellEnd"/>
      <w:r w:rsidRPr="009F10D2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у сфері забезпечення рівних прав та можливостей жінок і чоловіків належить:</w:t>
      </w:r>
    </w:p>
    <w:p w14:paraId="4FE38468" w14:textId="77777777" w:rsidR="009F10D2" w:rsidRPr="009F10D2" w:rsidRDefault="009F10D2" w:rsidP="009F10D2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9F10D2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участь у розробленні заходів, спрямованих на забезпечення рівності прав та можливостей жінок і чоловіків у всіх сферах життя суспільства;</w:t>
      </w:r>
    </w:p>
    <w:p w14:paraId="665B754D" w14:textId="77777777" w:rsidR="009F10D2" w:rsidRPr="009F10D2" w:rsidRDefault="009F10D2" w:rsidP="009F10D2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9F10D2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підготовка пропозицій щодо формування Національного плану дій стосовно впровадження гендерної рівності;</w:t>
      </w:r>
    </w:p>
    <w:p w14:paraId="5DAFFDE9" w14:textId="77777777" w:rsidR="009F10D2" w:rsidRPr="009F10D2" w:rsidRDefault="009F10D2" w:rsidP="009F10D2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9F10D2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узагальнення виконання державних програм з питань гендерної рівності;</w:t>
      </w:r>
    </w:p>
    <w:p w14:paraId="43ACC5E9" w14:textId="77777777" w:rsidR="009F10D2" w:rsidRPr="009F10D2" w:rsidRDefault="009F10D2" w:rsidP="009F10D2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9F10D2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lastRenderedPageBreak/>
        <w:t>здійснення в межах повноважень, передбачених законом, контроль за дотриманням гендерної рівності під час вирішення кадрових питань у центральних і місцевих органах виконавчої влади;</w:t>
      </w:r>
    </w:p>
    <w:p w14:paraId="5631558F" w14:textId="77777777" w:rsidR="009F10D2" w:rsidRPr="009F10D2" w:rsidRDefault="009F10D2" w:rsidP="009F10D2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9F10D2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організація навчання державних службовців з питань забезпечення рівних прав та можливостей жінок і чоловіків;</w:t>
      </w:r>
    </w:p>
    <w:p w14:paraId="3DAC2797" w14:textId="77777777" w:rsidR="009F10D2" w:rsidRPr="009F10D2" w:rsidRDefault="009F10D2" w:rsidP="009F10D2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9F10D2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підготовка разом з іншими центральними органами виконавчої влади науково обґрунтовані пропозиції щодо забезпечення гендерної рівності;</w:t>
      </w:r>
    </w:p>
    <w:p w14:paraId="1077A121" w14:textId="77777777" w:rsidR="009F10D2" w:rsidRPr="009F10D2" w:rsidRDefault="009F10D2" w:rsidP="009F10D2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9F10D2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організація в установленому порядку проведення наукових та експертних досліджень з питань забезпечення рівних прав та можливостей жінок і чоловіків;</w:t>
      </w:r>
    </w:p>
    <w:p w14:paraId="586D1739" w14:textId="77777777" w:rsidR="009F10D2" w:rsidRPr="009F10D2" w:rsidRDefault="009F10D2" w:rsidP="009F10D2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9F10D2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проведення моніторингу та узагальнення результатів забезпечення рівних прав та можливостей жінок і чоловіків у різних сферах життя суспільства;</w:t>
      </w:r>
    </w:p>
    <w:p w14:paraId="6C20D44C" w14:textId="77777777" w:rsidR="009F10D2" w:rsidRPr="009F10D2" w:rsidRDefault="009F10D2" w:rsidP="009F10D2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9F10D2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облік випадків дискримінації за ознакою статі, узагальнення інформації про такі випадки, внесення пропозицій щодо їх усунення;</w:t>
      </w:r>
    </w:p>
    <w:p w14:paraId="427D6BB5" w14:textId="77777777" w:rsidR="009F10D2" w:rsidRPr="009F10D2" w:rsidRDefault="009F10D2" w:rsidP="009F10D2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9F10D2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вжиття заходів для скасування дискримінаційних норм, виявлених за результатами </w:t>
      </w:r>
      <w:proofErr w:type="spellStart"/>
      <w:r w:rsidRPr="009F10D2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гендерно</w:t>
      </w:r>
      <w:proofErr w:type="spellEnd"/>
      <w:r w:rsidRPr="009F10D2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-правової експертизи законодавства.</w:t>
      </w:r>
    </w:p>
    <w:p w14:paraId="6099E195" w14:textId="77777777" w:rsidR="009F10D2" w:rsidRPr="009F10D2" w:rsidRDefault="009F10D2" w:rsidP="009F10D2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9F10D2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 </w:t>
      </w:r>
    </w:p>
    <w:p w14:paraId="0A700160" w14:textId="77777777" w:rsidR="009F10D2" w:rsidRPr="009F10D2" w:rsidRDefault="009F10D2" w:rsidP="009F10D2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9F10D2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Відділ з питань протидії торгівлі людьми, домашньому насильству та гендерної рівності </w:t>
      </w:r>
    </w:p>
    <w:p w14:paraId="05F1771A" w14:textId="77777777" w:rsidR="009F10D2" w:rsidRPr="009F10D2" w:rsidRDefault="009F10D2" w:rsidP="009F10D2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9F10D2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Департаменту з питань захисту прав дітей та забезпечення стандартів рівності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267"/>
        <w:gridCol w:w="4396"/>
      </w:tblGrid>
      <w:tr w:rsidR="009F10D2" w:rsidRPr="009F10D2" w14:paraId="7386C19F" w14:textId="77777777" w:rsidTr="009F10D2">
        <w:tc>
          <w:tcPr>
            <w:tcW w:w="2835" w:type="dxa"/>
            <w:tcBorders>
              <w:top w:val="single" w:sz="6" w:space="0" w:color="C2C5CB"/>
              <w:left w:val="nil"/>
              <w:bottom w:val="single" w:sz="6" w:space="0" w:color="C2C5CB"/>
              <w:right w:val="single" w:sz="6" w:space="0" w:color="C2C5CB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B72CEE7" w14:textId="77777777" w:rsidR="009F10D2" w:rsidRPr="009F10D2" w:rsidRDefault="009F10D2" w:rsidP="009F10D2">
            <w:pPr>
              <w:spacing w:after="150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9F10D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Начальник відділу</w:t>
            </w:r>
          </w:p>
        </w:tc>
        <w:tc>
          <w:tcPr>
            <w:tcW w:w="2267" w:type="dxa"/>
            <w:tcBorders>
              <w:top w:val="single" w:sz="6" w:space="0" w:color="C2C5CB"/>
              <w:left w:val="single" w:sz="6" w:space="0" w:color="C2C5CB"/>
              <w:bottom w:val="single" w:sz="6" w:space="0" w:color="C2C5CB"/>
              <w:right w:val="single" w:sz="6" w:space="0" w:color="C2C5CB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E783F13" w14:textId="77777777" w:rsidR="009F10D2" w:rsidRPr="009F10D2" w:rsidRDefault="009F10D2" w:rsidP="009F10D2">
            <w:pPr>
              <w:spacing w:after="150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9F10D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(044) 289-54-98</w:t>
            </w:r>
          </w:p>
        </w:tc>
        <w:tc>
          <w:tcPr>
            <w:tcW w:w="4396" w:type="dxa"/>
            <w:tcBorders>
              <w:top w:val="single" w:sz="6" w:space="0" w:color="C2C5CB"/>
              <w:left w:val="single" w:sz="6" w:space="0" w:color="C2C5CB"/>
              <w:bottom w:val="single" w:sz="6" w:space="0" w:color="C2C5CB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6187680" w14:textId="77777777" w:rsidR="009F10D2" w:rsidRPr="009F10D2" w:rsidRDefault="009F10D2" w:rsidP="009F10D2">
            <w:pPr>
              <w:spacing w:after="150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9F10D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Вихор Олена Петрівна</w:t>
            </w:r>
          </w:p>
        </w:tc>
      </w:tr>
      <w:tr w:rsidR="009F10D2" w:rsidRPr="009F10D2" w14:paraId="78A16B0E" w14:textId="77777777" w:rsidTr="009F10D2">
        <w:tc>
          <w:tcPr>
            <w:tcW w:w="2835" w:type="dxa"/>
            <w:tcBorders>
              <w:top w:val="single" w:sz="6" w:space="0" w:color="C2C5CB"/>
              <w:left w:val="nil"/>
              <w:bottom w:val="single" w:sz="6" w:space="0" w:color="C2C5CB"/>
              <w:right w:val="single" w:sz="6" w:space="0" w:color="C2C5CB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3BEE8A6" w14:textId="77777777" w:rsidR="009F10D2" w:rsidRPr="009F10D2" w:rsidRDefault="009F10D2" w:rsidP="009F10D2">
            <w:pPr>
              <w:spacing w:after="150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9F10D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Головні спеціалісти</w:t>
            </w:r>
          </w:p>
        </w:tc>
        <w:tc>
          <w:tcPr>
            <w:tcW w:w="2267" w:type="dxa"/>
            <w:tcBorders>
              <w:top w:val="single" w:sz="6" w:space="0" w:color="C2C5CB"/>
              <w:left w:val="single" w:sz="6" w:space="0" w:color="C2C5CB"/>
              <w:bottom w:val="single" w:sz="6" w:space="0" w:color="C2C5CB"/>
              <w:right w:val="single" w:sz="6" w:space="0" w:color="C2C5CB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DEFF3C3" w14:textId="77777777" w:rsidR="009F10D2" w:rsidRPr="009F10D2" w:rsidRDefault="009F10D2" w:rsidP="009F10D2">
            <w:pPr>
              <w:spacing w:after="150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9F10D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(044) 289-55-35</w:t>
            </w:r>
          </w:p>
        </w:tc>
        <w:tc>
          <w:tcPr>
            <w:tcW w:w="4396" w:type="dxa"/>
            <w:tcBorders>
              <w:top w:val="single" w:sz="6" w:space="0" w:color="C2C5CB"/>
              <w:left w:val="single" w:sz="6" w:space="0" w:color="C2C5CB"/>
              <w:bottom w:val="single" w:sz="6" w:space="0" w:color="C2C5CB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9672FF2" w14:textId="77777777" w:rsidR="009F10D2" w:rsidRPr="009F10D2" w:rsidRDefault="009F10D2" w:rsidP="009F10D2">
            <w:pPr>
              <w:spacing w:after="150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10D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Рой</w:t>
            </w:r>
            <w:proofErr w:type="spellEnd"/>
            <w:r w:rsidRPr="009F10D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 xml:space="preserve"> Марина Геннадіївна</w:t>
            </w:r>
          </w:p>
          <w:p w14:paraId="26A721EB" w14:textId="77777777" w:rsidR="009F10D2" w:rsidRPr="009F10D2" w:rsidRDefault="009F10D2" w:rsidP="009F10D2">
            <w:pPr>
              <w:spacing w:after="150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9F10D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Семенюк Олександр Миколайович</w:t>
            </w:r>
          </w:p>
          <w:p w14:paraId="74CD0764" w14:textId="77777777" w:rsidR="009F10D2" w:rsidRPr="009F10D2" w:rsidRDefault="009F10D2" w:rsidP="009F10D2">
            <w:pPr>
              <w:spacing w:after="150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9F10D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  <w:t>Яблонська Ірина Іванівна</w:t>
            </w:r>
          </w:p>
        </w:tc>
      </w:tr>
    </w:tbl>
    <w:p w14:paraId="6394EF4C" w14:textId="77777777" w:rsidR="009F10D2" w:rsidRPr="009F10D2" w:rsidRDefault="009F10D2" w:rsidP="009F10D2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9F10D2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ел</w:t>
      </w:r>
      <w:proofErr w:type="spellEnd"/>
      <w:r w:rsidRPr="009F10D2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. пошта: </w:t>
      </w:r>
      <w:hyperlink r:id="rId4" w:history="1">
        <w:r w:rsidRPr="009F10D2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uk-UA"/>
          </w:rPr>
          <w:t>stop_tvg@nssu.gov.ua</w:t>
        </w:r>
      </w:hyperlink>
    </w:p>
    <w:p w14:paraId="63AD1026" w14:textId="77777777" w:rsidR="009F10D2" w:rsidRPr="009F10D2" w:rsidRDefault="009F10D2" w:rsidP="009F10D2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9F10D2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Для більш ефективного забезпечення реалізації державної політики у сфері ґендерної рівності, </w:t>
      </w:r>
      <w:proofErr w:type="spellStart"/>
      <w:r w:rsidRPr="009F10D2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Нацсоцслужба</w:t>
      </w:r>
      <w:proofErr w:type="spellEnd"/>
      <w:r w:rsidRPr="009F10D2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співпрацює з громадськими та міжнародними організаціями, які здійснюють свою діяльність у цій сфері, такими як: Національна рада жінок України, „Благодійне товариство „Київський інститут гендерних досліджень, Центр „Розвиток демократії”, Спілка жінок України, Структура ООН Жінки в Україні, Спеціальна моніторингова місія ОБСЄ в Україні, Рада Європи в Україні та ін.</w:t>
      </w:r>
    </w:p>
    <w:p w14:paraId="01515DF8" w14:textId="77777777" w:rsidR="009F10D2" w:rsidRPr="009F10D2" w:rsidRDefault="009F10D2" w:rsidP="009F10D2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9F10D2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У 2021 році </w:t>
      </w:r>
      <w:proofErr w:type="spellStart"/>
      <w:r w:rsidRPr="009F10D2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Нацсоцслужбою</w:t>
      </w:r>
      <w:proofErr w:type="spellEnd"/>
      <w:r w:rsidRPr="009F10D2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укладено меморандум про співпрацю з Благодійною організацією „Благодійне товариство „Київський інститут гендерних досліджень”.</w:t>
      </w:r>
    </w:p>
    <w:p w14:paraId="7F7B277D" w14:textId="6C05747D" w:rsidR="00B460A5" w:rsidRPr="009F10D2" w:rsidRDefault="00B460A5" w:rsidP="009F10D2"/>
    <w:sectPr w:rsidR="00B460A5" w:rsidRPr="009F10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A5"/>
    <w:rsid w:val="004A727C"/>
    <w:rsid w:val="009F10D2"/>
    <w:rsid w:val="00B4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AD9B"/>
  <w15:chartTrackingRefBased/>
  <w15:docId w15:val="{8CBB683F-1112-4689-8875-B589BD3A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F10D2"/>
    <w:rPr>
      <w:b/>
      <w:bCs/>
    </w:rPr>
  </w:style>
  <w:style w:type="character" w:styleId="a5">
    <w:name w:val="Hyperlink"/>
    <w:basedOn w:val="a0"/>
    <w:uiPriority w:val="99"/>
    <w:semiHidden/>
    <w:unhideWhenUsed/>
    <w:rsid w:val="009F1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8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op_tvg@nssu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2726</Words>
  <Characters>1555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Антощук</dc:creator>
  <cp:keywords/>
  <dc:description/>
  <cp:lastModifiedBy>Юрій Антощук</cp:lastModifiedBy>
  <cp:revision>1</cp:revision>
  <dcterms:created xsi:type="dcterms:W3CDTF">2022-02-21T08:36:00Z</dcterms:created>
  <dcterms:modified xsi:type="dcterms:W3CDTF">2022-02-21T09:34:00Z</dcterms:modified>
</cp:coreProperties>
</file>